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11F94" w:rsidR="00B11F94" w:rsidP="00B11F94" w:rsidRDefault="00B11F94" w14:paraId="30544386" w14:textId="77777777">
      <w:pPr>
        <w:spacing w:before="300" w:after="600"/>
        <w:outlineLvl w:val="1"/>
        <w:rPr>
          <w:rFonts w:ascii="Arial" w:hAnsi="Arial" w:eastAsia="Times New Roman" w:cs="Arial"/>
          <w:b/>
          <w:bCs/>
          <w:color w:val="005CB9"/>
          <w:kern w:val="0"/>
          <w:sz w:val="32"/>
          <w:szCs w:val="32"/>
          <w:lang w:val="en-AU" w:eastAsia="en-GB"/>
          <w14:ligatures w14:val="none"/>
        </w:rPr>
      </w:pPr>
      <w:r w:rsidRPr="00B11F94">
        <w:rPr>
          <w:rFonts w:ascii="Arial" w:hAnsi="Arial" w:eastAsia="Times New Roman" w:cs="Arial"/>
          <w:b/>
          <w:bCs/>
          <w:color w:val="005CB9"/>
          <w:kern w:val="0"/>
          <w:sz w:val="32"/>
          <w:szCs w:val="32"/>
          <w:lang w:val="en-AU" w:eastAsia="en-GB"/>
          <w14:ligatures w14:val="none"/>
        </w:rPr>
        <w:t>Advance Care Planning and Children</w:t>
      </w:r>
    </w:p>
    <w:p w:rsidRPr="00B11F94" w:rsidR="00B11F94" w:rsidP="47AA95DD" w:rsidRDefault="00B11F94" w14:paraId="2BAF4B84" w14:textId="396F45D2">
      <w:pPr>
        <w:spacing w:after="480" w:line="312" w:lineRule="auto"/>
        <w:rPr>
          <w:rFonts w:ascii="Arial" w:hAnsi="Arial" w:eastAsia="Times New Roman" w:cs="Arial"/>
          <w:color w:val="535F67"/>
          <w:kern w:val="0"/>
          <w:lang w:val="en-AU" w:eastAsia="en-GB"/>
          <w14:ligatures w14:val="none"/>
        </w:rPr>
      </w:pPr>
      <w:r w:rsidRPr="00B11F94" w:rsidR="2A38BBDA">
        <w:rPr>
          <w:rFonts w:ascii="Arial" w:hAnsi="Arial" w:eastAsia="Times New Roman" w:cs="Arial"/>
          <w:color w:val="535F67"/>
          <w:kern w:val="0"/>
          <w:lang w:val="en-AU" w:eastAsia="en-GB"/>
          <w14:ligatures w14:val="none"/>
        </w:rPr>
        <w:t>Young people under the age of 18 can also do Advance Care Planning</w:t>
      </w:r>
      <w:r w:rsidR="2A38BBDA">
        <w:rPr>
          <w:rFonts w:ascii="Arial" w:hAnsi="Arial" w:eastAsia="Times New Roman" w:cs="Arial"/>
          <w:color w:val="535F67"/>
          <w:kern w:val="0"/>
          <w:lang w:val="en-AU" w:eastAsia="en-GB"/>
          <w14:ligatures w14:val="none"/>
        </w:rPr>
        <w:t>,</w:t>
      </w:r>
      <w:r w:rsidRPr="00B11F94" w:rsidR="2A38BBDA">
        <w:rPr>
          <w:rFonts w:ascii="Arial" w:hAnsi="Arial" w:eastAsia="Times New Roman" w:cs="Arial"/>
          <w:color w:val="535F67"/>
          <w:kern w:val="0"/>
          <w:lang w:val="en-AU" w:eastAsia="en-GB"/>
          <w14:ligatures w14:val="none"/>
        </w:rPr>
        <w:t xml:space="preserve"> but there are some differences </w:t>
      </w:r>
      <w:r w:rsidR="2A38BBDA">
        <w:rPr>
          <w:rFonts w:ascii="Arial" w:hAnsi="Arial" w:eastAsia="Times New Roman" w:cs="Arial"/>
          <w:color w:val="535F67"/>
          <w:kern w:val="0"/>
          <w:lang w:val="en-AU" w:eastAsia="en-GB"/>
          <w14:ligatures w14:val="none"/>
        </w:rPr>
        <w:t>in</w:t>
      </w:r>
      <w:r w:rsidRPr="00B11F94" w:rsidR="2A38BBDA">
        <w:rPr>
          <w:rFonts w:ascii="Arial" w:hAnsi="Arial" w:eastAsia="Times New Roman" w:cs="Arial"/>
          <w:color w:val="535F67"/>
          <w:kern w:val="0"/>
          <w:lang w:val="en-AU" w:eastAsia="en-GB"/>
          <w14:ligatures w14:val="none"/>
        </w:rPr>
        <w:t xml:space="preserve"> the process for adults.</w:t>
      </w:r>
    </w:p>
    <w:p w:rsidRPr="00B11F94" w:rsidR="00B11F94" w:rsidP="47AA95DD" w:rsidRDefault="00B11F94" w14:paraId="7EF0C6A3" w14:textId="7CD66A2B">
      <w:pPr>
        <w:spacing w:after="480" w:line="312" w:lineRule="auto"/>
        <w:rPr>
          <w:rFonts w:ascii="Arial" w:hAnsi="Arial" w:eastAsia="Times New Roman" w:cs="Arial"/>
          <w:color w:val="535F67"/>
          <w:kern w:val="0"/>
          <w:lang w:val="en-AU" w:eastAsia="en-GB"/>
          <w14:ligatures w14:val="none"/>
        </w:rPr>
      </w:pPr>
      <w:r w:rsidRPr="00B11F94" w:rsidR="2A38BBDA">
        <w:rPr>
          <w:rFonts w:ascii="Arial" w:hAnsi="Arial" w:eastAsia="Times New Roman" w:cs="Arial"/>
          <w:color w:val="535F67"/>
          <w:kern w:val="0"/>
          <w:lang w:val="en-AU" w:eastAsia="en-GB"/>
          <w14:ligatures w14:val="none"/>
        </w:rPr>
        <w:t xml:space="preserve">Young people under 18 years of age </w:t>
      </w:r>
      <w:r w:rsidRPr="00B11F94" w:rsidR="2A38BBDA">
        <w:rPr>
          <w:rFonts w:ascii="Arial" w:hAnsi="Arial" w:eastAsia="Times New Roman" w:cs="Arial"/>
          <w:color w:val="535F67"/>
          <w:kern w:val="0"/>
          <w:lang w:val="en-AU" w:eastAsia="en-GB"/>
          <w14:ligatures w14:val="none"/>
        </w:rPr>
        <w:t>are </w:t>
      </w:r>
      <w:r w:rsidRPr="00B11F94" w:rsidR="2A38BBDA">
        <w:rPr>
          <w:rFonts w:ascii="Arial" w:hAnsi="Arial" w:eastAsia="Times New Roman" w:cs="Arial"/>
          <w:b w:val="1"/>
          <w:bCs w:val="1"/>
          <w:color w:val="535F67"/>
          <w:kern w:val="0"/>
          <w:lang w:val="en-AU" w:eastAsia="en-GB"/>
          <w14:ligatures w14:val="none"/>
        </w:rPr>
        <w:t>not able</w:t>
      </w:r>
      <w:r w:rsidRPr="00B11F94" w:rsidR="2A38BBDA">
        <w:rPr>
          <w:rFonts w:ascii="Arial" w:hAnsi="Arial" w:eastAsia="Times New Roman" w:cs="Arial"/>
          <w:color w:val="535F67"/>
          <w:kern w:val="0"/>
          <w:lang w:val="en-AU" w:eastAsia="en-GB"/>
          <w14:ligatures w14:val="none"/>
        </w:rPr>
        <w:t> to</w:t>
      </w:r>
      <w:r w:rsidRPr="00B11F94" w:rsidR="2A38BBDA">
        <w:rPr>
          <w:rFonts w:ascii="Arial" w:hAnsi="Arial" w:eastAsia="Times New Roman" w:cs="Arial"/>
          <w:color w:val="535F67"/>
          <w:kern w:val="0"/>
          <w:lang w:val="en-AU" w:eastAsia="en-GB"/>
          <w14:ligatures w14:val="none"/>
        </w:rPr>
        <w:t xml:space="preserve"> appoint a Medical Treatment Decision Maker. Their parent or guardian is the Medical Treatment Decision Maker</w:t>
      </w:r>
      <w:r w:rsidR="2A38BBDA">
        <w:rPr>
          <w:rFonts w:ascii="Arial" w:hAnsi="Arial" w:eastAsia="Times New Roman" w:cs="Arial"/>
          <w:color w:val="535F67"/>
          <w:kern w:val="0"/>
          <w:lang w:val="en-AU" w:eastAsia="en-GB"/>
          <w14:ligatures w14:val="none"/>
        </w:rPr>
        <w:t>.</w:t>
      </w:r>
    </w:p>
    <w:p w:rsidRPr="00B11F94" w:rsidR="00B11F94" w:rsidP="47AA95DD" w:rsidRDefault="00B11F94" w14:paraId="76016A8D" w14:textId="39D1A082">
      <w:pPr>
        <w:spacing w:after="480" w:line="312" w:lineRule="auto"/>
        <w:rPr>
          <w:rFonts w:ascii="Arial" w:hAnsi="Arial" w:eastAsia="Times New Roman" w:cs="Arial"/>
          <w:color w:val="535F67"/>
          <w:kern w:val="0"/>
          <w:lang w:val="en-AU" w:eastAsia="en-GB"/>
          <w14:ligatures w14:val="none"/>
        </w:rPr>
      </w:pPr>
      <w:r w:rsidRPr="00B11F94" w:rsidR="2A38BBDA">
        <w:rPr>
          <w:rFonts w:ascii="Arial" w:hAnsi="Arial" w:eastAsia="Times New Roman" w:cs="Arial"/>
          <w:color w:val="535F67"/>
          <w:kern w:val="0"/>
          <w:lang w:val="en-AU" w:eastAsia="en-GB"/>
          <w14:ligatures w14:val="none"/>
        </w:rPr>
        <w:t>Young people under 18 years of age with decision-making capacity </w:t>
      </w:r>
      <w:r w:rsidRPr="00B11F94" w:rsidR="2A38BBDA">
        <w:rPr>
          <w:rFonts w:ascii="Arial" w:hAnsi="Arial" w:eastAsia="Times New Roman" w:cs="Arial"/>
          <w:b w:val="1"/>
          <w:bCs w:val="1"/>
          <w:color w:val="535F67"/>
          <w:kern w:val="0"/>
          <w:lang w:val="en-AU" w:eastAsia="en-GB"/>
          <w14:ligatures w14:val="none"/>
        </w:rPr>
        <w:t>are able</w:t>
      </w:r>
      <w:r w:rsidRPr="00B11F94" w:rsidR="2A38BBDA">
        <w:rPr>
          <w:rFonts w:ascii="Arial" w:hAnsi="Arial" w:eastAsia="Times New Roman" w:cs="Arial"/>
          <w:color w:val="535F67"/>
          <w:kern w:val="0"/>
          <w:lang w:val="en-AU" w:eastAsia="en-GB"/>
          <w14:ligatures w14:val="none"/>
        </w:rPr>
        <w:t> to</w:t>
      </w:r>
      <w:r w:rsidRPr="00B11F94" w:rsidR="2A38BBDA">
        <w:rPr>
          <w:rFonts w:ascii="Arial" w:hAnsi="Arial" w:eastAsia="Times New Roman" w:cs="Arial"/>
          <w:color w:val="535F67"/>
          <w:kern w:val="0"/>
          <w:lang w:val="en-AU" w:eastAsia="en-GB"/>
          <w14:ligatures w14:val="none"/>
        </w:rPr>
        <w:t xml:space="preserve"> appoint a Support Person. This person can be another child. The role of the Support Person is to help the patient gather and understand information, to help them make their own decisions, and to advocate for their preferences and values </w:t>
      </w:r>
      <w:r w:rsidRPr="00B11F94" w:rsidR="2A38BBDA">
        <w:rPr>
          <w:rFonts w:ascii="Arial" w:hAnsi="Arial" w:eastAsia="Times New Roman" w:cs="Arial"/>
          <w:color w:val="535F67"/>
          <w:kern w:val="0"/>
          <w:lang w:val="en-AU" w:eastAsia="en-GB"/>
          <w14:ligatures w14:val="none"/>
        </w:rPr>
        <w:t>in the event that</w:t>
      </w:r>
      <w:r w:rsidRPr="00B11F94" w:rsidR="2A38BBDA">
        <w:rPr>
          <w:rFonts w:ascii="Arial" w:hAnsi="Arial" w:eastAsia="Times New Roman" w:cs="Arial"/>
          <w:color w:val="535F67"/>
          <w:kern w:val="0"/>
          <w:lang w:val="en-AU" w:eastAsia="en-GB"/>
          <w14:ligatures w14:val="none"/>
        </w:rPr>
        <w:t xml:space="preserve"> the person loses capacity.</w:t>
      </w:r>
    </w:p>
    <w:p w:rsidRPr="00B11F94" w:rsidR="00B11F94" w:rsidP="47AA95DD" w:rsidRDefault="00B11F94" w14:paraId="2F618F7F" w14:textId="77777777">
      <w:pPr>
        <w:spacing w:after="480" w:line="312" w:lineRule="auto"/>
        <w:rPr>
          <w:rFonts w:ascii="Arial" w:hAnsi="Arial" w:eastAsia="Times New Roman" w:cs="Arial"/>
          <w:color w:val="535F67"/>
          <w:kern w:val="0"/>
          <w:lang w:val="en-AU" w:eastAsia="en-GB"/>
          <w14:ligatures w14:val="none"/>
        </w:rPr>
      </w:pPr>
      <w:r w:rsidRPr="00B11F94" w:rsidR="2A38BBDA">
        <w:rPr>
          <w:rFonts w:ascii="Arial" w:hAnsi="Arial" w:eastAsia="Times New Roman" w:cs="Arial"/>
          <w:color w:val="535F67"/>
          <w:kern w:val="0"/>
          <w:lang w:val="en-AU" w:eastAsia="en-GB"/>
          <w14:ligatures w14:val="none"/>
        </w:rPr>
        <w:t>Young people under 18 years of age, with decision-making capacity, </w:t>
      </w:r>
      <w:r w:rsidRPr="00B11F94" w:rsidR="2A38BBDA">
        <w:rPr>
          <w:rFonts w:ascii="Arial" w:hAnsi="Arial" w:eastAsia="Times New Roman" w:cs="Arial"/>
          <w:b w:val="1"/>
          <w:bCs w:val="1"/>
          <w:color w:val="535F67"/>
          <w:kern w:val="0"/>
          <w:lang w:val="en-AU" w:eastAsia="en-GB"/>
          <w14:ligatures w14:val="none"/>
        </w:rPr>
        <w:t>are able</w:t>
      </w:r>
      <w:r w:rsidRPr="00B11F94" w:rsidR="2A38BBDA">
        <w:rPr>
          <w:rFonts w:ascii="Arial" w:hAnsi="Arial" w:eastAsia="Times New Roman" w:cs="Arial"/>
          <w:color w:val="535F67"/>
          <w:kern w:val="0"/>
          <w:lang w:val="en-AU" w:eastAsia="en-GB"/>
          <w14:ligatures w14:val="none"/>
        </w:rPr>
        <w:t> to</w:t>
      </w:r>
      <w:r w:rsidRPr="00B11F94" w:rsidR="2A38BBDA">
        <w:rPr>
          <w:rFonts w:ascii="Arial" w:hAnsi="Arial" w:eastAsia="Times New Roman" w:cs="Arial"/>
          <w:color w:val="535F67"/>
          <w:kern w:val="0"/>
          <w:lang w:val="en-AU" w:eastAsia="en-GB"/>
          <w14:ligatures w14:val="none"/>
        </w:rPr>
        <w:t xml:space="preserve"> complete an Advance Care Directive. They may complete a Values and/or Instructional Directive.</w:t>
      </w:r>
    </w:p>
    <w:p w:rsidRPr="00B11F94" w:rsidR="00B11F94" w:rsidP="47AA95DD" w:rsidRDefault="00B11F94" w14:paraId="4CCAC0BF" w14:textId="3A07664E">
      <w:pPr>
        <w:spacing w:after="480" w:line="312" w:lineRule="auto"/>
        <w:rPr>
          <w:rFonts w:ascii="Arial" w:hAnsi="Arial" w:eastAsia="Times New Roman" w:cs="Arial"/>
          <w:color w:val="535F67"/>
          <w:kern w:val="0"/>
          <w:lang w:val="en-AU" w:eastAsia="en-GB"/>
          <w14:ligatures w14:val="none"/>
        </w:rPr>
      </w:pPr>
      <w:r w:rsidRPr="00B11F94" w:rsidR="2A38BBDA">
        <w:rPr>
          <w:rFonts w:ascii="Arial" w:hAnsi="Arial" w:eastAsia="Times New Roman" w:cs="Arial"/>
          <w:color w:val="535F67"/>
          <w:kern w:val="0"/>
          <w:lang w:val="en-AU" w:eastAsia="en-GB"/>
          <w14:ligatures w14:val="none"/>
        </w:rPr>
        <w:t>The witnessing requirement is that one witness must be a ‘Child and adolescent psychiatrist’ or a ‘Clinical neuropsychologist with special qualifications and experience</w:t>
      </w:r>
      <w:r w:rsidRPr="00B11F94" w:rsidR="2A38BBDA">
        <w:rPr>
          <w:rFonts w:ascii="Arial" w:hAnsi="Arial" w:eastAsia="Times New Roman" w:cs="Arial"/>
          <w:color w:val="535F67"/>
          <w:kern w:val="0"/>
          <w:lang w:val="en-AU" w:eastAsia="en-GB"/>
          <w14:ligatures w14:val="none"/>
        </w:rPr>
        <w:t>’.</w:t>
      </w:r>
      <w:r w:rsidRPr="00B11F94" w:rsidR="2A38BBDA">
        <w:rPr>
          <w:rFonts w:ascii="Arial" w:hAnsi="Arial" w:eastAsia="Times New Roman" w:cs="Arial"/>
          <w:color w:val="535F67"/>
          <w:kern w:val="0"/>
          <w:lang w:val="en-AU" w:eastAsia="en-GB"/>
          <w14:ligatures w14:val="none"/>
        </w:rPr>
        <w:t xml:space="preserve"> It is highly recommended that the second witness be the main treating doctor.</w:t>
      </w:r>
    </w:p>
    <w:p w:rsidRPr="00B11F94" w:rsidR="00B11F94" w:rsidP="47AA95DD" w:rsidRDefault="00B11F94" w14:paraId="19512F6A" w14:textId="0C88687B">
      <w:pPr>
        <w:spacing w:after="480" w:line="312" w:lineRule="auto"/>
        <w:rPr>
          <w:rFonts w:ascii="Arial" w:hAnsi="Arial" w:eastAsia="Times New Roman" w:cs="Arial"/>
          <w:color w:val="535F67"/>
          <w:kern w:val="0"/>
          <w:lang w:val="en-AU" w:eastAsia="en-GB"/>
          <w14:ligatures w14:val="none"/>
        </w:rPr>
      </w:pPr>
      <w:r w:rsidRPr="00B11F94" w:rsidR="2A38BBDA">
        <w:rPr>
          <w:rFonts w:ascii="Arial" w:hAnsi="Arial" w:eastAsia="Times New Roman" w:cs="Arial"/>
          <w:b w:val="1"/>
          <w:bCs w:val="1"/>
          <w:color w:val="535F67"/>
          <w:kern w:val="0"/>
          <w:lang w:val="en-AU" w:eastAsia="en-GB"/>
          <w14:ligatures w14:val="none"/>
        </w:rPr>
        <w:t>Please Note:</w:t>
      </w:r>
      <w:r w:rsidRPr="00B11F94" w:rsidR="2A38BBDA">
        <w:rPr>
          <w:rFonts w:ascii="Arial" w:hAnsi="Arial" w:eastAsia="Times New Roman" w:cs="Arial"/>
          <w:color w:val="535F67"/>
          <w:kern w:val="0"/>
          <w:lang w:val="en-AU" w:eastAsia="en-GB"/>
          <w14:ligatures w14:val="none"/>
        </w:rPr>
        <w:t> The Supreme Court may override an Instructional Directive refusing life-saving treatment where that refusal is not in the best interest of the young person</w:t>
      </w:r>
      <w:r w:rsidR="2A38BBDA">
        <w:rPr>
          <w:rFonts w:ascii="Arial" w:hAnsi="Arial" w:eastAsia="Times New Roman" w:cs="Arial"/>
          <w:color w:val="535F67"/>
          <w:kern w:val="0"/>
          <w:lang w:val="en-AU" w:eastAsia="en-GB"/>
          <w14:ligatures w14:val="none"/>
        </w:rPr>
        <w:t>,</w:t>
      </w:r>
      <w:r w:rsidRPr="00B11F94" w:rsidR="2A38BBDA">
        <w:rPr>
          <w:rFonts w:ascii="Arial" w:hAnsi="Arial" w:eastAsia="Times New Roman" w:cs="Arial"/>
          <w:color w:val="535F67"/>
          <w:kern w:val="0"/>
          <w:lang w:val="en-AU" w:eastAsia="en-GB"/>
          <w14:ligatures w14:val="none"/>
        </w:rPr>
        <w:t xml:space="preserve"> e</w:t>
      </w:r>
      <w:r w:rsidR="2A38BBDA">
        <w:rPr>
          <w:rFonts w:ascii="Arial" w:hAnsi="Arial" w:eastAsia="Times New Roman" w:cs="Arial"/>
          <w:color w:val="535F67"/>
          <w:kern w:val="0"/>
          <w:lang w:val="en-AU" w:eastAsia="en-GB"/>
          <w14:ligatures w14:val="none"/>
        </w:rPr>
        <w:t>.g.</w:t>
      </w:r>
      <w:r w:rsidRPr="00B11F94" w:rsidR="2A38BBDA">
        <w:rPr>
          <w:rFonts w:ascii="Arial" w:hAnsi="Arial" w:eastAsia="Times New Roman" w:cs="Arial"/>
          <w:color w:val="535F67"/>
          <w:kern w:val="0"/>
          <w:lang w:val="en-AU" w:eastAsia="en-GB"/>
          <w14:ligatures w14:val="none"/>
        </w:rPr>
        <w:t xml:space="preserve"> blood transfusion for a reversible condition.</w:t>
      </w:r>
    </w:p>
    <w:p w:rsidRPr="00B11F94" w:rsidR="00B11F94" w:rsidP="00B11F94" w:rsidRDefault="00B11F94" w14:paraId="5A94A8AF" w14:textId="3C18552D">
      <w:pPr>
        <w:spacing w:after="480"/>
        <w:rPr>
          <w:rFonts w:ascii="Arial" w:hAnsi="Arial" w:eastAsia="Times New Roman" w:cs="Arial"/>
          <w:color w:val="535F67"/>
          <w:kern w:val="0"/>
          <w:lang w:val="en-AU" w:eastAsia="en-GB"/>
          <w14:ligatures w14:val="none"/>
        </w:rPr>
      </w:pPr>
      <w:r w:rsidRPr="00B11F94">
        <w:rPr>
          <w:rFonts w:ascii="Arial" w:hAnsi="Arial" w:eastAsia="Times New Roman" w:cs="Arial"/>
          <w:b/>
          <w:bCs/>
          <w:color w:val="535F67"/>
          <w:kern w:val="0"/>
          <w:lang w:val="en-AU" w:eastAsia="en-GB"/>
          <w14:ligatures w14:val="none"/>
        </w:rPr>
        <w:t>Resource:</w:t>
      </w:r>
      <w:r w:rsidRPr="00B11F94">
        <w:rPr>
          <w:rFonts w:ascii="Arial" w:hAnsi="Arial" w:eastAsia="Times New Roman" w:cs="Arial"/>
          <w:color w:val="535F67"/>
          <w:kern w:val="0"/>
          <w:lang w:val="en-AU" w:eastAsia="en-GB"/>
          <w14:ligatures w14:val="none"/>
        </w:rPr>
        <w:t> </w:t>
      </w:r>
      <w:hyperlink w:history="1" r:id="rId4">
        <w:r w:rsidRPr="00B11F94">
          <w:rPr>
            <w:rFonts w:ascii="Arial" w:hAnsi="Arial" w:eastAsia="Times New Roman" w:cs="Arial"/>
            <w:color w:val="005CB9"/>
            <w:kern w:val="0"/>
            <w:u w:val="single"/>
            <w:lang w:val="en-AU" w:eastAsia="en-GB"/>
            <w14:ligatures w14:val="none"/>
          </w:rPr>
          <w:t>Royal Children’s Hospital ‘Thinking Ahead’ for children with life</w:t>
        </w:r>
        <w:r>
          <w:rPr>
            <w:rFonts w:ascii="Arial" w:hAnsi="Arial" w:eastAsia="Times New Roman" w:cs="Arial"/>
            <w:color w:val="005CB9"/>
            <w:kern w:val="0"/>
            <w:u w:val="single"/>
            <w:lang w:val="en-AU" w:eastAsia="en-GB"/>
            <w14:ligatures w14:val="none"/>
          </w:rPr>
          <w:t>-</w:t>
        </w:r>
        <w:r w:rsidRPr="00B11F94">
          <w:rPr>
            <w:rFonts w:ascii="Arial" w:hAnsi="Arial" w:eastAsia="Times New Roman" w:cs="Arial"/>
            <w:color w:val="005CB9"/>
            <w:kern w:val="0"/>
            <w:u w:val="single"/>
            <w:lang w:val="en-AU" w:eastAsia="en-GB"/>
            <w14:ligatures w14:val="none"/>
          </w:rPr>
          <w:t>limiting conditions</w:t>
        </w:r>
      </w:hyperlink>
    </w:p>
    <w:p w:rsidRPr="00B11F94" w:rsidR="007B179F" w:rsidRDefault="007B179F" w14:paraId="021DB5AD" w14:textId="77777777"/>
    <w:sectPr w:rsidRPr="00B11F94" w:rsidR="007B179F" w:rsidSect="008B37F8">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1F7"/>
    <w:rsid w:val="00013E20"/>
    <w:rsid w:val="000146D4"/>
    <w:rsid w:val="0002454C"/>
    <w:rsid w:val="00034E8B"/>
    <w:rsid w:val="0004063D"/>
    <w:rsid w:val="00041A1E"/>
    <w:rsid w:val="000445D4"/>
    <w:rsid w:val="0005032C"/>
    <w:rsid w:val="000515DB"/>
    <w:rsid w:val="00054851"/>
    <w:rsid w:val="000551F5"/>
    <w:rsid w:val="0006056A"/>
    <w:rsid w:val="0006261F"/>
    <w:rsid w:val="00064CFC"/>
    <w:rsid w:val="000661CD"/>
    <w:rsid w:val="00066553"/>
    <w:rsid w:val="00074E4E"/>
    <w:rsid w:val="00077CD7"/>
    <w:rsid w:val="00083C46"/>
    <w:rsid w:val="000874F1"/>
    <w:rsid w:val="00090857"/>
    <w:rsid w:val="0009240C"/>
    <w:rsid w:val="00096A2A"/>
    <w:rsid w:val="00097093"/>
    <w:rsid w:val="00097F0D"/>
    <w:rsid w:val="000A47B9"/>
    <w:rsid w:val="000A687E"/>
    <w:rsid w:val="000B4159"/>
    <w:rsid w:val="000B65BE"/>
    <w:rsid w:val="000B7D17"/>
    <w:rsid w:val="000C0FC3"/>
    <w:rsid w:val="000C1556"/>
    <w:rsid w:val="000C168C"/>
    <w:rsid w:val="000C401F"/>
    <w:rsid w:val="000C7D4C"/>
    <w:rsid w:val="000D0246"/>
    <w:rsid w:val="000D78DB"/>
    <w:rsid w:val="000E2BCA"/>
    <w:rsid w:val="000E32A7"/>
    <w:rsid w:val="000E3650"/>
    <w:rsid w:val="000F123C"/>
    <w:rsid w:val="000F3A8C"/>
    <w:rsid w:val="000F4DCD"/>
    <w:rsid w:val="00115E93"/>
    <w:rsid w:val="001250E3"/>
    <w:rsid w:val="00125EDD"/>
    <w:rsid w:val="00135BEC"/>
    <w:rsid w:val="00135F38"/>
    <w:rsid w:val="00137764"/>
    <w:rsid w:val="00141C4A"/>
    <w:rsid w:val="001519F9"/>
    <w:rsid w:val="00152CC7"/>
    <w:rsid w:val="0016032B"/>
    <w:rsid w:val="001663FF"/>
    <w:rsid w:val="0017065A"/>
    <w:rsid w:val="00170FE6"/>
    <w:rsid w:val="00183071"/>
    <w:rsid w:val="00183EA0"/>
    <w:rsid w:val="0019357F"/>
    <w:rsid w:val="00193F53"/>
    <w:rsid w:val="00196BD1"/>
    <w:rsid w:val="001B51AE"/>
    <w:rsid w:val="001C39B0"/>
    <w:rsid w:val="001E16E0"/>
    <w:rsid w:val="001E18FA"/>
    <w:rsid w:val="001E3860"/>
    <w:rsid w:val="001F5E6D"/>
    <w:rsid w:val="001F5E81"/>
    <w:rsid w:val="001F7F40"/>
    <w:rsid w:val="00206AD5"/>
    <w:rsid w:val="002108C3"/>
    <w:rsid w:val="00220A35"/>
    <w:rsid w:val="00224E28"/>
    <w:rsid w:val="002275DF"/>
    <w:rsid w:val="00232208"/>
    <w:rsid w:val="002365CF"/>
    <w:rsid w:val="00244703"/>
    <w:rsid w:val="00244F5D"/>
    <w:rsid w:val="00250D07"/>
    <w:rsid w:val="00251131"/>
    <w:rsid w:val="00251B3B"/>
    <w:rsid w:val="00251B78"/>
    <w:rsid w:val="00253453"/>
    <w:rsid w:val="0025462C"/>
    <w:rsid w:val="00255E25"/>
    <w:rsid w:val="0026092C"/>
    <w:rsid w:val="0026433D"/>
    <w:rsid w:val="00267A83"/>
    <w:rsid w:val="002711C6"/>
    <w:rsid w:val="00273886"/>
    <w:rsid w:val="00276D6E"/>
    <w:rsid w:val="002772FF"/>
    <w:rsid w:val="00281DD8"/>
    <w:rsid w:val="002825E5"/>
    <w:rsid w:val="00285921"/>
    <w:rsid w:val="002869A5"/>
    <w:rsid w:val="00292DED"/>
    <w:rsid w:val="00296794"/>
    <w:rsid w:val="002A2FF9"/>
    <w:rsid w:val="002A4153"/>
    <w:rsid w:val="002A6BE0"/>
    <w:rsid w:val="002B2BDC"/>
    <w:rsid w:val="002B41DD"/>
    <w:rsid w:val="002C4BE7"/>
    <w:rsid w:val="002C72AE"/>
    <w:rsid w:val="002D696A"/>
    <w:rsid w:val="002D6C85"/>
    <w:rsid w:val="002E51F0"/>
    <w:rsid w:val="002E626A"/>
    <w:rsid w:val="002F1DA8"/>
    <w:rsid w:val="002F39E8"/>
    <w:rsid w:val="002F7A5E"/>
    <w:rsid w:val="003006E4"/>
    <w:rsid w:val="00301583"/>
    <w:rsid w:val="00301D22"/>
    <w:rsid w:val="003031C8"/>
    <w:rsid w:val="00310EAA"/>
    <w:rsid w:val="00312C79"/>
    <w:rsid w:val="00315684"/>
    <w:rsid w:val="00321805"/>
    <w:rsid w:val="003221AE"/>
    <w:rsid w:val="0032298F"/>
    <w:rsid w:val="00326C39"/>
    <w:rsid w:val="003305E7"/>
    <w:rsid w:val="003358E9"/>
    <w:rsid w:val="00340BC4"/>
    <w:rsid w:val="003411CA"/>
    <w:rsid w:val="00346733"/>
    <w:rsid w:val="00346AE9"/>
    <w:rsid w:val="00350004"/>
    <w:rsid w:val="003508D5"/>
    <w:rsid w:val="00351D26"/>
    <w:rsid w:val="00352939"/>
    <w:rsid w:val="0035293D"/>
    <w:rsid w:val="00355B0E"/>
    <w:rsid w:val="003701D5"/>
    <w:rsid w:val="00370C4F"/>
    <w:rsid w:val="003770F8"/>
    <w:rsid w:val="00382742"/>
    <w:rsid w:val="00382D5D"/>
    <w:rsid w:val="00385786"/>
    <w:rsid w:val="0038579F"/>
    <w:rsid w:val="00385F7A"/>
    <w:rsid w:val="003953F2"/>
    <w:rsid w:val="003967F9"/>
    <w:rsid w:val="00396BF2"/>
    <w:rsid w:val="00396DC3"/>
    <w:rsid w:val="003A7EE5"/>
    <w:rsid w:val="003B3415"/>
    <w:rsid w:val="003B6188"/>
    <w:rsid w:val="003B6D3B"/>
    <w:rsid w:val="003C0977"/>
    <w:rsid w:val="003C09E5"/>
    <w:rsid w:val="003C1719"/>
    <w:rsid w:val="003C5C85"/>
    <w:rsid w:val="003D3623"/>
    <w:rsid w:val="003D72FD"/>
    <w:rsid w:val="003E46EE"/>
    <w:rsid w:val="003F0F16"/>
    <w:rsid w:val="003F36A9"/>
    <w:rsid w:val="003F4F2A"/>
    <w:rsid w:val="00402CCE"/>
    <w:rsid w:val="00411309"/>
    <w:rsid w:val="0042121B"/>
    <w:rsid w:val="00424AFA"/>
    <w:rsid w:val="00424DCF"/>
    <w:rsid w:val="004317D6"/>
    <w:rsid w:val="004361C1"/>
    <w:rsid w:val="004420E7"/>
    <w:rsid w:val="00446BC7"/>
    <w:rsid w:val="00447D15"/>
    <w:rsid w:val="00447E7A"/>
    <w:rsid w:val="004507C6"/>
    <w:rsid w:val="00455FC3"/>
    <w:rsid w:val="00461A42"/>
    <w:rsid w:val="00463318"/>
    <w:rsid w:val="00471460"/>
    <w:rsid w:val="004720D8"/>
    <w:rsid w:val="00472CD4"/>
    <w:rsid w:val="00475579"/>
    <w:rsid w:val="00481AAF"/>
    <w:rsid w:val="00482BDA"/>
    <w:rsid w:val="00483297"/>
    <w:rsid w:val="00483334"/>
    <w:rsid w:val="0049524E"/>
    <w:rsid w:val="004A00C7"/>
    <w:rsid w:val="004A1C5D"/>
    <w:rsid w:val="004A2477"/>
    <w:rsid w:val="004A5812"/>
    <w:rsid w:val="004B4EC7"/>
    <w:rsid w:val="004C0CD4"/>
    <w:rsid w:val="004C257A"/>
    <w:rsid w:val="004C2692"/>
    <w:rsid w:val="004C47AE"/>
    <w:rsid w:val="004D4355"/>
    <w:rsid w:val="004D6597"/>
    <w:rsid w:val="004D7100"/>
    <w:rsid w:val="004E5185"/>
    <w:rsid w:val="004E739C"/>
    <w:rsid w:val="004E75E8"/>
    <w:rsid w:val="004F0628"/>
    <w:rsid w:val="004F4C53"/>
    <w:rsid w:val="00500A66"/>
    <w:rsid w:val="00507455"/>
    <w:rsid w:val="00507E3B"/>
    <w:rsid w:val="00520113"/>
    <w:rsid w:val="00522BE9"/>
    <w:rsid w:val="00530658"/>
    <w:rsid w:val="005311AB"/>
    <w:rsid w:val="005334EF"/>
    <w:rsid w:val="005407B4"/>
    <w:rsid w:val="00551460"/>
    <w:rsid w:val="005519D0"/>
    <w:rsid w:val="00551EEA"/>
    <w:rsid w:val="00552186"/>
    <w:rsid w:val="00556209"/>
    <w:rsid w:val="00556878"/>
    <w:rsid w:val="0057014B"/>
    <w:rsid w:val="00571FD0"/>
    <w:rsid w:val="00572F5B"/>
    <w:rsid w:val="0057346B"/>
    <w:rsid w:val="00575952"/>
    <w:rsid w:val="005769D5"/>
    <w:rsid w:val="00581A8D"/>
    <w:rsid w:val="00583B03"/>
    <w:rsid w:val="0058599F"/>
    <w:rsid w:val="005867B2"/>
    <w:rsid w:val="00590386"/>
    <w:rsid w:val="00590D32"/>
    <w:rsid w:val="005925C7"/>
    <w:rsid w:val="00594050"/>
    <w:rsid w:val="005A1E08"/>
    <w:rsid w:val="005A2C17"/>
    <w:rsid w:val="005B0A7B"/>
    <w:rsid w:val="005B11E8"/>
    <w:rsid w:val="005B255F"/>
    <w:rsid w:val="005C1732"/>
    <w:rsid w:val="005C1A69"/>
    <w:rsid w:val="005C6CDC"/>
    <w:rsid w:val="005D0863"/>
    <w:rsid w:val="005D36B5"/>
    <w:rsid w:val="005D4B2A"/>
    <w:rsid w:val="005D718A"/>
    <w:rsid w:val="005E08CB"/>
    <w:rsid w:val="005E0C9E"/>
    <w:rsid w:val="005E2A42"/>
    <w:rsid w:val="005E50AB"/>
    <w:rsid w:val="005E5448"/>
    <w:rsid w:val="005F0371"/>
    <w:rsid w:val="005F549A"/>
    <w:rsid w:val="005F6C34"/>
    <w:rsid w:val="00602B86"/>
    <w:rsid w:val="006063C8"/>
    <w:rsid w:val="006075DE"/>
    <w:rsid w:val="006108EF"/>
    <w:rsid w:val="00615C71"/>
    <w:rsid w:val="00617484"/>
    <w:rsid w:val="0061794E"/>
    <w:rsid w:val="00620D1E"/>
    <w:rsid w:val="00623D11"/>
    <w:rsid w:val="00624018"/>
    <w:rsid w:val="00624D57"/>
    <w:rsid w:val="00626106"/>
    <w:rsid w:val="006262B6"/>
    <w:rsid w:val="00631945"/>
    <w:rsid w:val="00633B5B"/>
    <w:rsid w:val="0063670F"/>
    <w:rsid w:val="006456AD"/>
    <w:rsid w:val="006515FB"/>
    <w:rsid w:val="00657174"/>
    <w:rsid w:val="00664E9D"/>
    <w:rsid w:val="0067567C"/>
    <w:rsid w:val="00681DFA"/>
    <w:rsid w:val="00683180"/>
    <w:rsid w:val="00683578"/>
    <w:rsid w:val="0068618E"/>
    <w:rsid w:val="00691417"/>
    <w:rsid w:val="00692E2D"/>
    <w:rsid w:val="006A4616"/>
    <w:rsid w:val="006A468B"/>
    <w:rsid w:val="006A4A29"/>
    <w:rsid w:val="006A64A8"/>
    <w:rsid w:val="006A6DFE"/>
    <w:rsid w:val="006B2E43"/>
    <w:rsid w:val="006B5A1D"/>
    <w:rsid w:val="006B628E"/>
    <w:rsid w:val="006C1A6C"/>
    <w:rsid w:val="006C1B76"/>
    <w:rsid w:val="006C4AC5"/>
    <w:rsid w:val="006C5B92"/>
    <w:rsid w:val="006D3B74"/>
    <w:rsid w:val="006D4381"/>
    <w:rsid w:val="006D586A"/>
    <w:rsid w:val="006D6384"/>
    <w:rsid w:val="006E39B6"/>
    <w:rsid w:val="006E3D3E"/>
    <w:rsid w:val="006E421A"/>
    <w:rsid w:val="006E5B82"/>
    <w:rsid w:val="0070517F"/>
    <w:rsid w:val="00717B70"/>
    <w:rsid w:val="00720AD6"/>
    <w:rsid w:val="00733D0F"/>
    <w:rsid w:val="007357CC"/>
    <w:rsid w:val="00746B7D"/>
    <w:rsid w:val="007617AB"/>
    <w:rsid w:val="00762194"/>
    <w:rsid w:val="0076470F"/>
    <w:rsid w:val="00770A3A"/>
    <w:rsid w:val="007824FF"/>
    <w:rsid w:val="00785DCA"/>
    <w:rsid w:val="00791033"/>
    <w:rsid w:val="00791434"/>
    <w:rsid w:val="00791B9D"/>
    <w:rsid w:val="00794912"/>
    <w:rsid w:val="007A0627"/>
    <w:rsid w:val="007A424E"/>
    <w:rsid w:val="007A6A9F"/>
    <w:rsid w:val="007B179F"/>
    <w:rsid w:val="007B273B"/>
    <w:rsid w:val="007B6BEA"/>
    <w:rsid w:val="007B6C38"/>
    <w:rsid w:val="007B70DB"/>
    <w:rsid w:val="007B7E5A"/>
    <w:rsid w:val="007C1480"/>
    <w:rsid w:val="007C1E2A"/>
    <w:rsid w:val="007C547A"/>
    <w:rsid w:val="007C64B5"/>
    <w:rsid w:val="007D1906"/>
    <w:rsid w:val="007E14A0"/>
    <w:rsid w:val="007E1C6D"/>
    <w:rsid w:val="007E51D3"/>
    <w:rsid w:val="007E7BF6"/>
    <w:rsid w:val="007F7ECD"/>
    <w:rsid w:val="00801F08"/>
    <w:rsid w:val="00803A2E"/>
    <w:rsid w:val="008052EC"/>
    <w:rsid w:val="00807E1D"/>
    <w:rsid w:val="008133FE"/>
    <w:rsid w:val="00815A5C"/>
    <w:rsid w:val="008170ED"/>
    <w:rsid w:val="00820AC1"/>
    <w:rsid w:val="00821431"/>
    <w:rsid w:val="008217B2"/>
    <w:rsid w:val="008279C8"/>
    <w:rsid w:val="00831CEA"/>
    <w:rsid w:val="0084675F"/>
    <w:rsid w:val="00861E14"/>
    <w:rsid w:val="0086428A"/>
    <w:rsid w:val="00864CC0"/>
    <w:rsid w:val="00867852"/>
    <w:rsid w:val="00871B24"/>
    <w:rsid w:val="00876338"/>
    <w:rsid w:val="008773AD"/>
    <w:rsid w:val="0087770C"/>
    <w:rsid w:val="00880833"/>
    <w:rsid w:val="008812DA"/>
    <w:rsid w:val="00883618"/>
    <w:rsid w:val="00887105"/>
    <w:rsid w:val="008A2736"/>
    <w:rsid w:val="008A57CD"/>
    <w:rsid w:val="008A7033"/>
    <w:rsid w:val="008B30C5"/>
    <w:rsid w:val="008B37F8"/>
    <w:rsid w:val="008B50B1"/>
    <w:rsid w:val="008B74C0"/>
    <w:rsid w:val="008C0734"/>
    <w:rsid w:val="008C25BF"/>
    <w:rsid w:val="008C55ED"/>
    <w:rsid w:val="008C587F"/>
    <w:rsid w:val="008D3AFF"/>
    <w:rsid w:val="008D62AB"/>
    <w:rsid w:val="008E01F7"/>
    <w:rsid w:val="008E4A71"/>
    <w:rsid w:val="008F3ABA"/>
    <w:rsid w:val="008F4FBE"/>
    <w:rsid w:val="008F5069"/>
    <w:rsid w:val="008F7A38"/>
    <w:rsid w:val="00902749"/>
    <w:rsid w:val="00913E72"/>
    <w:rsid w:val="00917019"/>
    <w:rsid w:val="00922349"/>
    <w:rsid w:val="0093153F"/>
    <w:rsid w:val="009413BF"/>
    <w:rsid w:val="009425B3"/>
    <w:rsid w:val="0094309E"/>
    <w:rsid w:val="00952FEE"/>
    <w:rsid w:val="00961863"/>
    <w:rsid w:val="009619EE"/>
    <w:rsid w:val="00962AA4"/>
    <w:rsid w:val="009651C2"/>
    <w:rsid w:val="00966466"/>
    <w:rsid w:val="009677B3"/>
    <w:rsid w:val="00971446"/>
    <w:rsid w:val="00974091"/>
    <w:rsid w:val="009822DD"/>
    <w:rsid w:val="0098667E"/>
    <w:rsid w:val="00987649"/>
    <w:rsid w:val="00987E12"/>
    <w:rsid w:val="0099062C"/>
    <w:rsid w:val="00992CF6"/>
    <w:rsid w:val="009A0A7D"/>
    <w:rsid w:val="009B4C2E"/>
    <w:rsid w:val="009C1766"/>
    <w:rsid w:val="009C3CA3"/>
    <w:rsid w:val="009C6110"/>
    <w:rsid w:val="009D282D"/>
    <w:rsid w:val="009E7948"/>
    <w:rsid w:val="009F70D6"/>
    <w:rsid w:val="00A04EFB"/>
    <w:rsid w:val="00A05875"/>
    <w:rsid w:val="00A10169"/>
    <w:rsid w:val="00A11CAF"/>
    <w:rsid w:val="00A13A30"/>
    <w:rsid w:val="00A20286"/>
    <w:rsid w:val="00A26984"/>
    <w:rsid w:val="00A368BC"/>
    <w:rsid w:val="00A452F1"/>
    <w:rsid w:val="00A45561"/>
    <w:rsid w:val="00A50F2C"/>
    <w:rsid w:val="00A51188"/>
    <w:rsid w:val="00A54245"/>
    <w:rsid w:val="00A54521"/>
    <w:rsid w:val="00A61DE3"/>
    <w:rsid w:val="00A644C0"/>
    <w:rsid w:val="00A656F8"/>
    <w:rsid w:val="00A6701A"/>
    <w:rsid w:val="00A720BE"/>
    <w:rsid w:val="00A72D58"/>
    <w:rsid w:val="00A84629"/>
    <w:rsid w:val="00A84B5A"/>
    <w:rsid w:val="00A86402"/>
    <w:rsid w:val="00A90011"/>
    <w:rsid w:val="00A9280A"/>
    <w:rsid w:val="00A94139"/>
    <w:rsid w:val="00AA3C82"/>
    <w:rsid w:val="00AA690F"/>
    <w:rsid w:val="00AA6C4F"/>
    <w:rsid w:val="00AA770C"/>
    <w:rsid w:val="00AA7D1F"/>
    <w:rsid w:val="00AB1302"/>
    <w:rsid w:val="00AB1BB2"/>
    <w:rsid w:val="00AB1DA6"/>
    <w:rsid w:val="00AC0048"/>
    <w:rsid w:val="00AD46D6"/>
    <w:rsid w:val="00AD6268"/>
    <w:rsid w:val="00AD7FDC"/>
    <w:rsid w:val="00AE50AA"/>
    <w:rsid w:val="00AE59CA"/>
    <w:rsid w:val="00AF3CDE"/>
    <w:rsid w:val="00AF641B"/>
    <w:rsid w:val="00AF6ACC"/>
    <w:rsid w:val="00B03B89"/>
    <w:rsid w:val="00B06040"/>
    <w:rsid w:val="00B063A5"/>
    <w:rsid w:val="00B0641C"/>
    <w:rsid w:val="00B06F00"/>
    <w:rsid w:val="00B115FA"/>
    <w:rsid w:val="00B11F94"/>
    <w:rsid w:val="00B12676"/>
    <w:rsid w:val="00B27B80"/>
    <w:rsid w:val="00B32613"/>
    <w:rsid w:val="00B42287"/>
    <w:rsid w:val="00B509EF"/>
    <w:rsid w:val="00B51434"/>
    <w:rsid w:val="00B525EB"/>
    <w:rsid w:val="00B533C2"/>
    <w:rsid w:val="00B54CBD"/>
    <w:rsid w:val="00B54FD5"/>
    <w:rsid w:val="00B5628A"/>
    <w:rsid w:val="00B57A72"/>
    <w:rsid w:val="00B63367"/>
    <w:rsid w:val="00B705F5"/>
    <w:rsid w:val="00B70CCE"/>
    <w:rsid w:val="00B75CAC"/>
    <w:rsid w:val="00B8247B"/>
    <w:rsid w:val="00B9305D"/>
    <w:rsid w:val="00B97139"/>
    <w:rsid w:val="00B97389"/>
    <w:rsid w:val="00BA04D1"/>
    <w:rsid w:val="00BA0BD6"/>
    <w:rsid w:val="00BA1950"/>
    <w:rsid w:val="00BA4B1B"/>
    <w:rsid w:val="00BA5747"/>
    <w:rsid w:val="00BB7384"/>
    <w:rsid w:val="00BB76F2"/>
    <w:rsid w:val="00BC73A4"/>
    <w:rsid w:val="00BC77A5"/>
    <w:rsid w:val="00BD167C"/>
    <w:rsid w:val="00BD434C"/>
    <w:rsid w:val="00BD59F3"/>
    <w:rsid w:val="00BE489C"/>
    <w:rsid w:val="00BF4AB9"/>
    <w:rsid w:val="00BF5406"/>
    <w:rsid w:val="00BF70D1"/>
    <w:rsid w:val="00C013EF"/>
    <w:rsid w:val="00C03C15"/>
    <w:rsid w:val="00C07E7C"/>
    <w:rsid w:val="00C11C83"/>
    <w:rsid w:val="00C261CF"/>
    <w:rsid w:val="00C36C08"/>
    <w:rsid w:val="00C36C2C"/>
    <w:rsid w:val="00C45ABA"/>
    <w:rsid w:val="00C51BEA"/>
    <w:rsid w:val="00C524FF"/>
    <w:rsid w:val="00C54AC2"/>
    <w:rsid w:val="00C5506D"/>
    <w:rsid w:val="00C57558"/>
    <w:rsid w:val="00C6236B"/>
    <w:rsid w:val="00C64E3E"/>
    <w:rsid w:val="00C700D6"/>
    <w:rsid w:val="00C72CBF"/>
    <w:rsid w:val="00C72D30"/>
    <w:rsid w:val="00C737DD"/>
    <w:rsid w:val="00C73F60"/>
    <w:rsid w:val="00C87112"/>
    <w:rsid w:val="00C91561"/>
    <w:rsid w:val="00CA167D"/>
    <w:rsid w:val="00CA3742"/>
    <w:rsid w:val="00CA44BF"/>
    <w:rsid w:val="00CA4600"/>
    <w:rsid w:val="00CB2C0E"/>
    <w:rsid w:val="00CB3378"/>
    <w:rsid w:val="00CB4AEC"/>
    <w:rsid w:val="00CB5B88"/>
    <w:rsid w:val="00CB66AC"/>
    <w:rsid w:val="00CB7971"/>
    <w:rsid w:val="00CC2DCC"/>
    <w:rsid w:val="00CC56C5"/>
    <w:rsid w:val="00CD13FE"/>
    <w:rsid w:val="00CD230F"/>
    <w:rsid w:val="00CD512C"/>
    <w:rsid w:val="00CD7A05"/>
    <w:rsid w:val="00CE28CC"/>
    <w:rsid w:val="00CE2D87"/>
    <w:rsid w:val="00CF0B25"/>
    <w:rsid w:val="00CF13E0"/>
    <w:rsid w:val="00CF2C83"/>
    <w:rsid w:val="00CF34F0"/>
    <w:rsid w:val="00CF6741"/>
    <w:rsid w:val="00D01539"/>
    <w:rsid w:val="00D04AC7"/>
    <w:rsid w:val="00D130BF"/>
    <w:rsid w:val="00D15385"/>
    <w:rsid w:val="00D15BC5"/>
    <w:rsid w:val="00D2116B"/>
    <w:rsid w:val="00D24D54"/>
    <w:rsid w:val="00D25E7B"/>
    <w:rsid w:val="00D264C2"/>
    <w:rsid w:val="00D27FDF"/>
    <w:rsid w:val="00D30D52"/>
    <w:rsid w:val="00D37B40"/>
    <w:rsid w:val="00D43E61"/>
    <w:rsid w:val="00D53378"/>
    <w:rsid w:val="00D53FD4"/>
    <w:rsid w:val="00D60177"/>
    <w:rsid w:val="00D610E2"/>
    <w:rsid w:val="00D64B55"/>
    <w:rsid w:val="00D66776"/>
    <w:rsid w:val="00D667E3"/>
    <w:rsid w:val="00D713D6"/>
    <w:rsid w:val="00D74E14"/>
    <w:rsid w:val="00D74F4D"/>
    <w:rsid w:val="00D8052A"/>
    <w:rsid w:val="00D85F5D"/>
    <w:rsid w:val="00D91738"/>
    <w:rsid w:val="00D9695F"/>
    <w:rsid w:val="00DA4C5F"/>
    <w:rsid w:val="00DA6B32"/>
    <w:rsid w:val="00DB02AB"/>
    <w:rsid w:val="00DB2803"/>
    <w:rsid w:val="00DC15F2"/>
    <w:rsid w:val="00DD35B4"/>
    <w:rsid w:val="00DD43AE"/>
    <w:rsid w:val="00DD7B75"/>
    <w:rsid w:val="00DE7B5F"/>
    <w:rsid w:val="00DF0255"/>
    <w:rsid w:val="00DF046B"/>
    <w:rsid w:val="00DF0619"/>
    <w:rsid w:val="00DF0DEA"/>
    <w:rsid w:val="00DF16CD"/>
    <w:rsid w:val="00E00E0F"/>
    <w:rsid w:val="00E040F5"/>
    <w:rsid w:val="00E1260A"/>
    <w:rsid w:val="00E138B3"/>
    <w:rsid w:val="00E14202"/>
    <w:rsid w:val="00E203DF"/>
    <w:rsid w:val="00E22918"/>
    <w:rsid w:val="00E25C9D"/>
    <w:rsid w:val="00E26DAF"/>
    <w:rsid w:val="00E2790A"/>
    <w:rsid w:val="00E334EF"/>
    <w:rsid w:val="00E33CA7"/>
    <w:rsid w:val="00E421F5"/>
    <w:rsid w:val="00E44D3D"/>
    <w:rsid w:val="00E47C86"/>
    <w:rsid w:val="00E51383"/>
    <w:rsid w:val="00E5444F"/>
    <w:rsid w:val="00E63046"/>
    <w:rsid w:val="00E64E33"/>
    <w:rsid w:val="00E71523"/>
    <w:rsid w:val="00E71CD0"/>
    <w:rsid w:val="00E758A4"/>
    <w:rsid w:val="00E77EC8"/>
    <w:rsid w:val="00E80E46"/>
    <w:rsid w:val="00E9489E"/>
    <w:rsid w:val="00EA005F"/>
    <w:rsid w:val="00EA00DF"/>
    <w:rsid w:val="00EA09AF"/>
    <w:rsid w:val="00EA136E"/>
    <w:rsid w:val="00EA1B29"/>
    <w:rsid w:val="00EA251B"/>
    <w:rsid w:val="00EA35BA"/>
    <w:rsid w:val="00EB457D"/>
    <w:rsid w:val="00EB7B26"/>
    <w:rsid w:val="00EC0308"/>
    <w:rsid w:val="00EC1B8F"/>
    <w:rsid w:val="00EC3AB5"/>
    <w:rsid w:val="00EC6376"/>
    <w:rsid w:val="00ED02A4"/>
    <w:rsid w:val="00EE2402"/>
    <w:rsid w:val="00EE2921"/>
    <w:rsid w:val="00EF4027"/>
    <w:rsid w:val="00EF78E7"/>
    <w:rsid w:val="00F155DC"/>
    <w:rsid w:val="00F2089F"/>
    <w:rsid w:val="00F2233D"/>
    <w:rsid w:val="00F242B9"/>
    <w:rsid w:val="00F25A3E"/>
    <w:rsid w:val="00F2709B"/>
    <w:rsid w:val="00F30C10"/>
    <w:rsid w:val="00F31019"/>
    <w:rsid w:val="00F3483F"/>
    <w:rsid w:val="00F34AD6"/>
    <w:rsid w:val="00F36784"/>
    <w:rsid w:val="00F37939"/>
    <w:rsid w:val="00F4194E"/>
    <w:rsid w:val="00F46ED0"/>
    <w:rsid w:val="00F5172B"/>
    <w:rsid w:val="00F5245B"/>
    <w:rsid w:val="00F551A6"/>
    <w:rsid w:val="00F57582"/>
    <w:rsid w:val="00F61DC5"/>
    <w:rsid w:val="00F63AD6"/>
    <w:rsid w:val="00F6468E"/>
    <w:rsid w:val="00F66DFD"/>
    <w:rsid w:val="00F70253"/>
    <w:rsid w:val="00F71E80"/>
    <w:rsid w:val="00F802AD"/>
    <w:rsid w:val="00F810E6"/>
    <w:rsid w:val="00F8308A"/>
    <w:rsid w:val="00F84949"/>
    <w:rsid w:val="00F85C63"/>
    <w:rsid w:val="00F866EC"/>
    <w:rsid w:val="00F94645"/>
    <w:rsid w:val="00F96244"/>
    <w:rsid w:val="00FA5652"/>
    <w:rsid w:val="00FA653A"/>
    <w:rsid w:val="00FB35E0"/>
    <w:rsid w:val="00FB42DD"/>
    <w:rsid w:val="00FB5F81"/>
    <w:rsid w:val="00FB6DE5"/>
    <w:rsid w:val="00FC1CD8"/>
    <w:rsid w:val="00FC2381"/>
    <w:rsid w:val="00FC2B50"/>
    <w:rsid w:val="00FC3AC1"/>
    <w:rsid w:val="00FC4931"/>
    <w:rsid w:val="00FC5127"/>
    <w:rsid w:val="00FC598F"/>
    <w:rsid w:val="00FD16D9"/>
    <w:rsid w:val="00FD42A3"/>
    <w:rsid w:val="00FE455B"/>
    <w:rsid w:val="00FF0632"/>
    <w:rsid w:val="00FF287E"/>
    <w:rsid w:val="00FF7BDF"/>
    <w:rsid w:val="2A38BBDA"/>
    <w:rsid w:val="47AA9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4FAC50"/>
  <w14:defaultImageDpi w14:val="32767"/>
  <w15:chartTrackingRefBased/>
  <w15:docId w15:val="{6609AE43-35EF-D549-ABDD-6CF0F834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E01F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1F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1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1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1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1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1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1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1F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E01F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E01F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E01F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E01F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E01F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E01F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E01F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E01F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E01F7"/>
    <w:rPr>
      <w:rFonts w:eastAsiaTheme="majorEastAsia" w:cstheme="majorBidi"/>
      <w:color w:val="272727" w:themeColor="text1" w:themeTint="D8"/>
    </w:rPr>
  </w:style>
  <w:style w:type="paragraph" w:styleId="Title">
    <w:name w:val="Title"/>
    <w:basedOn w:val="Normal"/>
    <w:next w:val="Normal"/>
    <w:link w:val="TitleChar"/>
    <w:uiPriority w:val="10"/>
    <w:qFormat/>
    <w:rsid w:val="008E01F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E01F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E01F7"/>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E01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1F7"/>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8E01F7"/>
    <w:rPr>
      <w:i/>
      <w:iCs/>
      <w:color w:val="404040" w:themeColor="text1" w:themeTint="BF"/>
    </w:rPr>
  </w:style>
  <w:style w:type="paragraph" w:styleId="ListParagraph">
    <w:name w:val="List Paragraph"/>
    <w:basedOn w:val="Normal"/>
    <w:uiPriority w:val="34"/>
    <w:qFormat/>
    <w:rsid w:val="008E01F7"/>
    <w:pPr>
      <w:ind w:left="720"/>
      <w:contextualSpacing/>
    </w:pPr>
  </w:style>
  <w:style w:type="character" w:styleId="IntenseEmphasis">
    <w:name w:val="Intense Emphasis"/>
    <w:basedOn w:val="DefaultParagraphFont"/>
    <w:uiPriority w:val="21"/>
    <w:qFormat/>
    <w:rsid w:val="008E01F7"/>
    <w:rPr>
      <w:i/>
      <w:iCs/>
      <w:color w:val="0F4761" w:themeColor="accent1" w:themeShade="BF"/>
    </w:rPr>
  </w:style>
  <w:style w:type="paragraph" w:styleId="IntenseQuote">
    <w:name w:val="Intense Quote"/>
    <w:basedOn w:val="Normal"/>
    <w:next w:val="Normal"/>
    <w:link w:val="IntenseQuoteChar"/>
    <w:uiPriority w:val="30"/>
    <w:qFormat/>
    <w:rsid w:val="008E01F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E01F7"/>
    <w:rPr>
      <w:i/>
      <w:iCs/>
      <w:color w:val="0F4761" w:themeColor="accent1" w:themeShade="BF"/>
    </w:rPr>
  </w:style>
  <w:style w:type="character" w:styleId="IntenseReference">
    <w:name w:val="Intense Reference"/>
    <w:basedOn w:val="DefaultParagraphFont"/>
    <w:uiPriority w:val="32"/>
    <w:qFormat/>
    <w:rsid w:val="008E01F7"/>
    <w:rPr>
      <w:b/>
      <w:bCs/>
      <w:smallCaps/>
      <w:color w:val="0F4761" w:themeColor="accent1" w:themeShade="BF"/>
      <w:spacing w:val="5"/>
    </w:rPr>
  </w:style>
  <w:style w:type="character" w:styleId="Hyperlink">
    <w:name w:val="Hyperlink"/>
    <w:basedOn w:val="DefaultParagraphFont"/>
    <w:uiPriority w:val="99"/>
    <w:unhideWhenUsed/>
    <w:rsid w:val="00B11F94"/>
    <w:rPr>
      <w:color w:val="467886" w:themeColor="hyperlink"/>
      <w:u w:val="single"/>
    </w:rPr>
  </w:style>
  <w:style w:type="character" w:styleId="UnresolvedMention">
    <w:name w:val="Unresolved Mention"/>
    <w:basedOn w:val="DefaultParagraphFont"/>
    <w:uiPriority w:val="99"/>
    <w:rsid w:val="00B1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76223">
      <w:bodyDiv w:val="1"/>
      <w:marLeft w:val="0"/>
      <w:marRight w:val="0"/>
      <w:marTop w:val="0"/>
      <w:marBottom w:val="0"/>
      <w:divBdr>
        <w:top w:val="none" w:sz="0" w:space="0" w:color="auto"/>
        <w:left w:val="none" w:sz="0" w:space="0" w:color="auto"/>
        <w:bottom w:val="none" w:sz="0" w:space="0" w:color="auto"/>
        <w:right w:val="none" w:sz="0" w:space="0" w:color="auto"/>
      </w:divBdr>
    </w:div>
    <w:div w:id="308480301">
      <w:bodyDiv w:val="1"/>
      <w:marLeft w:val="0"/>
      <w:marRight w:val="0"/>
      <w:marTop w:val="0"/>
      <w:marBottom w:val="0"/>
      <w:divBdr>
        <w:top w:val="none" w:sz="0" w:space="0" w:color="auto"/>
        <w:left w:val="none" w:sz="0" w:space="0" w:color="auto"/>
        <w:bottom w:val="none" w:sz="0" w:space="0" w:color="auto"/>
        <w:right w:val="none" w:sz="0" w:space="0" w:color="auto"/>
      </w:divBdr>
    </w:div>
    <w:div w:id="145309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s://www.rch.org.au/advancecareplanning/" TargetMode="Externa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73B16505A8B448BF34A762F9684343" ma:contentTypeVersion="13" ma:contentTypeDescription="Create a new document." ma:contentTypeScope="" ma:versionID="f99245130edee71b09c03599bf83db12">
  <xsd:schema xmlns:xsd="http://www.w3.org/2001/XMLSchema" xmlns:xs="http://www.w3.org/2001/XMLSchema" xmlns:p="http://schemas.microsoft.com/office/2006/metadata/properties" xmlns:ns2="d68e049d-2e93-461d-ab25-e849a2f42c3b" xmlns:ns3="3b11f896-9408-4a85-9e02-c5a3c1dca4fd" targetNamespace="http://schemas.microsoft.com/office/2006/metadata/properties" ma:root="true" ma:fieldsID="42454dbfef139efddd466ed4cc8f6cf7" ns2:_="" ns3:_="">
    <xsd:import namespace="d68e049d-2e93-461d-ab25-e849a2f42c3b"/>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e049d-2e93-461d-ab25-e849a2f42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9dbded-0ced-4864-9392-08c5b7f2d2a6}"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8e049d-2e93-461d-ab25-e849a2f42c3b">
      <Terms xmlns="http://schemas.microsoft.com/office/infopath/2007/PartnerControls"/>
    </lcf76f155ced4ddcb4097134ff3c332f>
    <TaxCatchAll xmlns="3b11f896-9408-4a85-9e02-c5a3c1dca4fd" xsi:nil="true"/>
  </documentManagement>
</p:properties>
</file>

<file path=customXml/itemProps1.xml><?xml version="1.0" encoding="utf-8"?>
<ds:datastoreItem xmlns:ds="http://schemas.openxmlformats.org/officeDocument/2006/customXml" ds:itemID="{4CEFB1A7-D074-4A80-9979-A65859E0DB65}"/>
</file>

<file path=customXml/itemProps2.xml><?xml version="1.0" encoding="utf-8"?>
<ds:datastoreItem xmlns:ds="http://schemas.openxmlformats.org/officeDocument/2006/customXml" ds:itemID="{B21588BC-F637-4A95-B026-87A733291540}"/>
</file>

<file path=customXml/itemProps3.xml><?xml version="1.0" encoding="utf-8"?>
<ds:datastoreItem xmlns:ds="http://schemas.openxmlformats.org/officeDocument/2006/customXml" ds:itemID="{01A1537F-98B0-43A5-B473-C13A3355CE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Zhuo, Haoming</dc:creator>
  <cp:keywords/>
  <dc:description/>
  <cp:lastModifiedBy>Heard, Linda L</cp:lastModifiedBy>
  <cp:revision>3</cp:revision>
  <dcterms:created xsi:type="dcterms:W3CDTF">2024-12-05T06:51:00Z</dcterms:created>
  <dcterms:modified xsi:type="dcterms:W3CDTF">2026-01-14T02:43:04Z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0x0101002673B16505A8B448BF34A762F9684343</vt:lpwstr>
  </property>
  <property fmtid="{D5CDD505-2E9C-101B-9397-08002B2CF9AE}" pid="3" name="MediaServiceImageTags">
    <vt:lpwstr/>
  </property>
</Properties>
</file>